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89334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4E420A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46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893344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резинотехнических изделий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7610C2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7610C2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893344" w:rsidRDefault="00893344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93344">
              <w:rPr>
                <w:rFonts w:ascii="Tahoma" w:hAnsi="Tahoma" w:cs="Tahoma"/>
                <w:b/>
                <w:sz w:val="20"/>
                <w:szCs w:val="20"/>
              </w:rPr>
              <w:t xml:space="preserve">22.19.30.139   22.19.20.112   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893344" w:rsidRDefault="00893344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893344">
              <w:rPr>
                <w:rFonts w:ascii="Tahoma" w:hAnsi="Tahoma" w:cs="Tahoma"/>
                <w:b/>
                <w:sz w:val="20"/>
                <w:szCs w:val="20"/>
              </w:rPr>
              <w:t>22.19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893344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893344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резинотехнических изделий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декабря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="004E420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23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 </w:t>
            </w:r>
            <w:r w:rsidR="004E420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9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4E420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4E420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20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F97682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4E420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="00F9768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</w:t>
            </w:r>
            <w:r w:rsidR="00F9768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03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5D8" w:rsidRDefault="005B15D8" w:rsidP="001C56F5">
      <w:pPr>
        <w:spacing w:after="0"/>
      </w:pPr>
      <w:r>
        <w:separator/>
      </w:r>
    </w:p>
  </w:endnote>
  <w:endnote w:type="continuationSeparator" w:id="0">
    <w:p w:rsidR="005B15D8" w:rsidRDefault="005B15D8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5D8" w:rsidRDefault="005B15D8" w:rsidP="001C56F5">
      <w:pPr>
        <w:spacing w:after="0"/>
      </w:pPr>
      <w:r>
        <w:separator/>
      </w:r>
    </w:p>
  </w:footnote>
  <w:footnote w:type="continuationSeparator" w:id="0">
    <w:p w:rsidR="005B15D8" w:rsidRDefault="005B15D8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7610C2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F97682">
      <w:rPr>
        <w:noProof/>
      </w:rPr>
      <w:t>7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AC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1E1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609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420A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5D8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0C2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5D6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344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BB2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467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58C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682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DBA75-C947-47F5-B0BF-E8B38C55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7583</Words>
  <Characters>43225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26</cp:revision>
  <cp:lastPrinted>2019-02-04T06:44:00Z</cp:lastPrinted>
  <dcterms:created xsi:type="dcterms:W3CDTF">2019-02-07T06:22:00Z</dcterms:created>
  <dcterms:modified xsi:type="dcterms:W3CDTF">2019-06-04T09:35:00Z</dcterms:modified>
</cp:coreProperties>
</file>